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twarz Kliniki Miracki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twarzy kliniki Beautymed jakiś czas temu pojawiły się pierwsze zmarszczki, dlatego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sięgnęła po pomoc ekspertów- wybór padł na agencję BE7.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twarzy kliniki Beautymed jakiś czas temu pojawiły się pierwsze zmarszczki, dlatego sięgnęła po pomoc ekspertów- wybór padł na agencję </w:t>
      </w:r>
      <w:r>
        <w:rPr>
          <w:rFonts w:ascii="calibri" w:hAnsi="calibri" w:eastAsia="calibri" w:cs="calibri"/>
          <w:sz w:val="24"/>
          <w:szCs w:val="24"/>
          <w:b/>
        </w:rPr>
        <w:t xml:space="preserve">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od brandingu nadali marce zupełnie nowy wygląd- pod skalpel poszła nazwa, logotyp oraz cała identyfikacja wizualna kliniki.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odróżniająca się nazwa kryła za sobą wybitnych profesjonalistów.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BE7</w:t>
      </w:r>
      <w:r>
        <w:rPr>
          <w:rFonts w:ascii="calibri" w:hAnsi="calibri" w:eastAsia="calibri" w:cs="calibri"/>
          <w:sz w:val="24"/>
          <w:szCs w:val="24"/>
        </w:rPr>
        <w:t xml:space="preserve"> rzuciła na nich światło. Dawna Beautymed zyskała nazwę swojego założyciela i stała się Kliniką Miracki. Logotyp połączył inicjał nazwiska założycieli. Kształt litery M wpisany został w ideał proporcji ludzkich, łącząc w sobie klasyczne piękno i nowoczesność.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i tożsamość wizualna marki, w nowoczesnej formie ukazała klasyczne wartości, budując wizerunek profesjonalnej, dyskretnej i godnej zaufania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odnosi sukcesy, prezentując swoją nową twarz w kolejnym, już drugim sezonie programu „Sekrety Lekarzy” emitowanym na antenie TVN 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metamorfozą Kliniki Miracki można zapoznać się na stronie agencji </w:t>
      </w:r>
      <w:r>
        <w:rPr>
          <w:rFonts w:ascii="calibri" w:hAnsi="calibri" w:eastAsia="calibri" w:cs="calibri"/>
          <w:sz w:val="24"/>
          <w:szCs w:val="24"/>
          <w:b/>
        </w:rPr>
        <w:t xml:space="preserve">BE7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http://www.be7.pl/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7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2026-04-26T10:33:37+02:00</dcterms:created>
  <dcterms:modified xsi:type="dcterms:W3CDTF">2026-04-26T10:33:37+02:00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